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E4819" w14:textId="77777777" w:rsidR="000B68F9" w:rsidRDefault="000B68F9" w:rsidP="000B68F9">
      <w:pPr>
        <w:rPr>
          <w:b/>
          <w:bCs/>
          <w:u w:val="single"/>
          <w:lang w:val="en-GB"/>
        </w:rPr>
      </w:pPr>
    </w:p>
    <w:p w14:paraId="12536307" w14:textId="152922F2" w:rsidR="000F4AF8" w:rsidRDefault="000B68F9" w:rsidP="000B68F9">
      <w:pPr>
        <w:jc w:val="center"/>
        <w:rPr>
          <w:b/>
          <w:bCs/>
          <w:u w:val="single"/>
          <w:lang w:val="en-GB"/>
        </w:rPr>
      </w:pPr>
      <w:r w:rsidRPr="000B68F9">
        <w:rPr>
          <w:b/>
          <w:bCs/>
          <w:u w:val="single"/>
          <w:lang w:val="en-GB"/>
        </w:rPr>
        <w:t>Determination of PFAS in ambient air samples by TD-GC-HR-Orbitrap-MS using a semi-targeted approach</w:t>
      </w:r>
    </w:p>
    <w:p w14:paraId="2BDDA593" w14:textId="65AEEC42" w:rsidR="0003740E" w:rsidRPr="0003740E" w:rsidRDefault="0003740E" w:rsidP="000B68F9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Introduction</w:t>
      </w:r>
    </w:p>
    <w:p w14:paraId="2852D4E3" w14:textId="0D05A027" w:rsidR="0061609B" w:rsidRDefault="000B68F9" w:rsidP="000B68F9">
      <w:pPr>
        <w:jc w:val="both"/>
        <w:rPr>
          <w:lang w:val="en-GB"/>
        </w:rPr>
      </w:pPr>
      <w:r w:rsidRPr="000B68F9">
        <w:rPr>
          <w:lang w:val="en-GB"/>
        </w:rPr>
        <w:t xml:space="preserve">PFAS, or per- and polyfluoroalkyl substances, constitute a group of chemicals that have pervaded the environment globally due to their widespread use in various industrial and commercial applications. These persistent and </w:t>
      </w:r>
      <w:proofErr w:type="spellStart"/>
      <w:r w:rsidRPr="000B68F9">
        <w:rPr>
          <w:lang w:val="en-GB"/>
        </w:rPr>
        <w:t>bioaccumulative</w:t>
      </w:r>
      <w:proofErr w:type="spellEnd"/>
      <w:r w:rsidRPr="000B68F9">
        <w:rPr>
          <w:lang w:val="en-GB"/>
        </w:rPr>
        <w:t xml:space="preserve"> compounds have exhibited concerning effects on human health and the environment. To comprehend their occurrence and distribution, air samples are routinely collected and analy</w:t>
      </w:r>
      <w:r w:rsidR="003300BF">
        <w:rPr>
          <w:lang w:val="en-GB"/>
        </w:rPr>
        <w:t>s</w:t>
      </w:r>
      <w:r w:rsidRPr="000B68F9">
        <w:rPr>
          <w:lang w:val="en-GB"/>
        </w:rPr>
        <w:t>ed. In this regard, ambient air samples play a crucial role as they provide insights into the contamination of PFAS in the atmosphere and their potential impacts on human health and ecosystems.</w:t>
      </w:r>
    </w:p>
    <w:p w14:paraId="620A2D58" w14:textId="7BE2F810" w:rsidR="0003740E" w:rsidRPr="0003740E" w:rsidRDefault="0003740E" w:rsidP="000B68F9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Experimental Part</w:t>
      </w:r>
    </w:p>
    <w:p w14:paraId="2E2416E4" w14:textId="77777777" w:rsidR="00182257" w:rsidRDefault="0061609B" w:rsidP="0061609B">
      <w:pPr>
        <w:jc w:val="both"/>
        <w:rPr>
          <w:lang w:val="en-GB"/>
        </w:rPr>
      </w:pPr>
      <w:r>
        <w:rPr>
          <w:lang w:val="en-GB"/>
        </w:rPr>
        <w:t xml:space="preserve">In this experiment we want to use a semi-targeted approach to (semi)-quantify PFAS in ambient air samples. </w:t>
      </w:r>
      <w:r w:rsidR="003C0E32">
        <w:rPr>
          <w:lang w:val="en-GB"/>
        </w:rPr>
        <w:t xml:space="preserve"> We will use </w:t>
      </w:r>
      <w:r w:rsidR="003300BF">
        <w:rPr>
          <w:lang w:val="en-GB"/>
        </w:rPr>
        <w:t xml:space="preserve">TD-GC-HR-Orbitrap-MS to analyse air samples adsorbed on cartridges filled with </w:t>
      </w:r>
      <w:proofErr w:type="spellStart"/>
      <w:r w:rsidR="003300BF">
        <w:rPr>
          <w:lang w:val="en-GB"/>
        </w:rPr>
        <w:t>Tenax</w:t>
      </w:r>
      <w:proofErr w:type="spellEnd"/>
      <w:r w:rsidR="003300BF">
        <w:rPr>
          <w:lang w:val="en-GB"/>
        </w:rPr>
        <w:t xml:space="preserve"> TA.</w:t>
      </w:r>
    </w:p>
    <w:p w14:paraId="5C2EDF55" w14:textId="412FF6B0" w:rsidR="003300BF" w:rsidRPr="00182257" w:rsidRDefault="00182257" w:rsidP="0061609B">
      <w:pPr>
        <w:jc w:val="both"/>
        <w:rPr>
          <w:u w:val="single"/>
          <w:lang w:val="en-GB"/>
        </w:rPr>
      </w:pPr>
      <w:r w:rsidRPr="00182257">
        <w:rPr>
          <w:u w:val="single"/>
          <w:lang w:val="en-GB"/>
        </w:rPr>
        <w:t>Sample preparation:</w:t>
      </w:r>
      <w:r w:rsidR="003300BF" w:rsidRPr="00182257">
        <w:rPr>
          <w:u w:val="single"/>
          <w:lang w:val="en-GB"/>
        </w:rPr>
        <w:t xml:space="preserve"> </w:t>
      </w:r>
    </w:p>
    <w:p w14:paraId="2056C826" w14:textId="494A43F4" w:rsidR="003300BF" w:rsidRDefault="0003740E" w:rsidP="0061609B">
      <w:pPr>
        <w:jc w:val="both"/>
        <w:rPr>
          <w:lang w:val="en-GB"/>
        </w:rPr>
      </w:pPr>
      <w:r>
        <w:rPr>
          <w:lang w:val="en-GB"/>
        </w:rPr>
        <w:t>Firstly</w:t>
      </w:r>
      <w:r w:rsidR="003300BF">
        <w:rPr>
          <w:lang w:val="en-GB"/>
        </w:rPr>
        <w:t xml:space="preserve">, </w:t>
      </w:r>
      <w:r w:rsidR="00182257">
        <w:rPr>
          <w:lang w:val="en-GB"/>
        </w:rPr>
        <w:t xml:space="preserve">we way the GC-vial in our test gas source to determine the loss rate of our reference compound. Then, we </w:t>
      </w:r>
      <w:r w:rsidR="003300BF">
        <w:rPr>
          <w:lang w:val="en-GB"/>
        </w:rPr>
        <w:t xml:space="preserve">will take a sample of a reference standard (1H,1H,2H,2HPerfluoro1-octanole) that we use for semi-quantitation. </w:t>
      </w:r>
      <w:r w:rsidR="004718E9">
        <w:rPr>
          <w:lang w:val="en-GB"/>
        </w:rPr>
        <w:t>Therefore, you use the following setup:</w:t>
      </w:r>
    </w:p>
    <w:p w14:paraId="31E90D26" w14:textId="682946AA" w:rsidR="0061609B" w:rsidRDefault="003300BF" w:rsidP="0061609B">
      <w:pPr>
        <w:jc w:val="both"/>
        <w:rPr>
          <w:lang w:val="en-GB"/>
        </w:rPr>
      </w:pPr>
      <w:r>
        <w:rPr>
          <w:noProof/>
        </w:rPr>
        <w:drawing>
          <wp:inline distT="0" distB="0" distL="0" distR="0" wp14:anchorId="1288D95A" wp14:editId="24A3F0C1">
            <wp:extent cx="5760720" cy="2118360"/>
            <wp:effectExtent l="0" t="0" r="0" b="0"/>
            <wp:docPr id="11338842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8842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8BD62" w14:textId="37F4D2D6" w:rsidR="003300BF" w:rsidRDefault="0003740E" w:rsidP="0061609B">
      <w:pPr>
        <w:jc w:val="both"/>
        <w:rPr>
          <w:lang w:val="en-GB"/>
        </w:rPr>
      </w:pPr>
      <w:r>
        <w:rPr>
          <w:lang w:val="en-GB"/>
        </w:rPr>
        <w:t>Use following parameters:</w:t>
      </w:r>
    </w:p>
    <w:p w14:paraId="2F38E0C3" w14:textId="41658DBF" w:rsidR="0003740E" w:rsidRDefault="0003740E" w:rsidP="0003740E">
      <w:pPr>
        <w:pStyle w:val="Listenabsatz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Dilution flow scale mark 14; main flow scale mark 8</w:t>
      </w:r>
    </w:p>
    <w:p w14:paraId="23FD033F" w14:textId="1A82C751" w:rsidR="0003740E" w:rsidRDefault="0003740E" w:rsidP="0003740E">
      <w:pPr>
        <w:pStyle w:val="Listenabsatz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Pump: 20 mL/min</w:t>
      </w:r>
    </w:p>
    <w:p w14:paraId="7CF3A5A9" w14:textId="5E904C0C" w:rsidR="0003740E" w:rsidRDefault="0003740E" w:rsidP="0003740E">
      <w:pPr>
        <w:pStyle w:val="Listenabsatz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Duration: 1 min</w:t>
      </w:r>
    </w:p>
    <w:p w14:paraId="1AD68925" w14:textId="46491FED" w:rsidR="0003740E" w:rsidRDefault="0003740E" w:rsidP="0003740E">
      <w:pPr>
        <w:jc w:val="both"/>
        <w:rPr>
          <w:lang w:val="en-GB"/>
        </w:rPr>
      </w:pPr>
      <w:r>
        <w:rPr>
          <w:lang w:val="en-GB"/>
        </w:rPr>
        <w:t>Secondly, we will take a sample of ambient air. Use the following parameters:</w:t>
      </w:r>
    </w:p>
    <w:p w14:paraId="778C1575" w14:textId="2A3E37A5" w:rsidR="0003740E" w:rsidRDefault="0003740E" w:rsidP="0003740E">
      <w:pPr>
        <w:pStyle w:val="Listenabsatz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Flow: 445 mL/min</w:t>
      </w:r>
    </w:p>
    <w:p w14:paraId="296E7600" w14:textId="6758FC14" w:rsidR="0003740E" w:rsidRDefault="0003740E" w:rsidP="0003740E">
      <w:pPr>
        <w:pStyle w:val="Listenabsatz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Duration: 1 h</w:t>
      </w:r>
    </w:p>
    <w:p w14:paraId="2603A232" w14:textId="0AD2E71A" w:rsidR="0003740E" w:rsidRDefault="0003740E" w:rsidP="0003740E">
      <w:pPr>
        <w:pStyle w:val="Listenabsatz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After the sample is taken, dry the cartridge by passing nitrogen (50 mL/min; 5 min) through the cartridge</w:t>
      </w:r>
    </w:p>
    <w:p w14:paraId="0E852A80" w14:textId="77777777" w:rsidR="0095628A" w:rsidRDefault="0095628A" w:rsidP="0095628A">
      <w:pPr>
        <w:jc w:val="both"/>
        <w:rPr>
          <w:lang w:val="en-GB"/>
        </w:rPr>
      </w:pPr>
    </w:p>
    <w:p w14:paraId="357E9161" w14:textId="77777777" w:rsidR="0095628A" w:rsidRPr="0095628A" w:rsidRDefault="0095628A" w:rsidP="0095628A">
      <w:pPr>
        <w:jc w:val="both"/>
        <w:rPr>
          <w:lang w:val="en-GB"/>
        </w:rPr>
      </w:pPr>
    </w:p>
    <w:p w14:paraId="7736E062" w14:textId="43C80028" w:rsidR="0003740E" w:rsidRPr="00182257" w:rsidRDefault="0095628A" w:rsidP="0003740E">
      <w:pPr>
        <w:jc w:val="both"/>
        <w:rPr>
          <w:u w:val="single"/>
          <w:lang w:val="en-GB"/>
        </w:rPr>
      </w:pPr>
      <w:r w:rsidRPr="00182257">
        <w:rPr>
          <w:u w:val="single"/>
          <w:lang w:val="en-GB"/>
        </w:rPr>
        <w:lastRenderedPageBreak/>
        <w:t>Measurement</w:t>
      </w:r>
      <w:r w:rsidR="0003740E" w:rsidRPr="00182257">
        <w:rPr>
          <w:u w:val="single"/>
          <w:lang w:val="en-GB"/>
        </w:rPr>
        <w:t>:</w:t>
      </w:r>
    </w:p>
    <w:p w14:paraId="6F02BAB2" w14:textId="7CCA8A12" w:rsidR="0003740E" w:rsidRDefault="0003740E" w:rsidP="0003740E">
      <w:pPr>
        <w:jc w:val="both"/>
        <w:rPr>
          <w:lang w:val="en-GB"/>
        </w:rPr>
      </w:pPr>
      <w:r>
        <w:rPr>
          <w:lang w:val="en-GB"/>
        </w:rPr>
        <w:t>While you take the sample of ambient air, you can measure the cartridge with the reference standard. Use following desorption conditions:</w:t>
      </w:r>
    </w:p>
    <w:p w14:paraId="3E6D808B" w14:textId="14B08AE9" w:rsidR="0003740E" w:rsidRDefault="0003740E" w:rsidP="0003740E">
      <w:pPr>
        <w:pStyle w:val="Listenabsatz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1</w:t>
      </w:r>
      <w:r w:rsidRPr="0003740E">
        <w:rPr>
          <w:vertAlign w:val="superscript"/>
          <w:lang w:val="en-GB"/>
        </w:rPr>
        <w:t>st</w:t>
      </w:r>
      <w:r>
        <w:rPr>
          <w:lang w:val="en-GB"/>
        </w:rPr>
        <w:t xml:space="preserve"> desorption 5 min at 250 °C</w:t>
      </w:r>
    </w:p>
    <w:p w14:paraId="16C63D25" w14:textId="22DF2B15" w:rsidR="0003740E" w:rsidRDefault="0003740E" w:rsidP="0003740E">
      <w:pPr>
        <w:pStyle w:val="Listenabsatz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2</w:t>
      </w:r>
      <w:r w:rsidRPr="0003740E">
        <w:rPr>
          <w:vertAlign w:val="superscript"/>
          <w:lang w:val="en-GB"/>
        </w:rPr>
        <w:t>nd</w:t>
      </w:r>
      <w:r>
        <w:rPr>
          <w:lang w:val="en-GB"/>
        </w:rPr>
        <w:t xml:space="preserve"> desorption 10 min at 180-220 °C</w:t>
      </w:r>
    </w:p>
    <w:p w14:paraId="05423B7D" w14:textId="1FD03BF7" w:rsidR="0003740E" w:rsidRDefault="0003740E" w:rsidP="0003740E">
      <w:pPr>
        <w:pStyle w:val="Listenabsatz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Temperature of the cooling trap: -150 °C</w:t>
      </w:r>
    </w:p>
    <w:p w14:paraId="19782420" w14:textId="53818C11" w:rsidR="0003740E" w:rsidRDefault="0003740E" w:rsidP="0003740E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Evaluation</w:t>
      </w:r>
    </w:p>
    <w:p w14:paraId="61696A4C" w14:textId="01E0EE40" w:rsidR="0003740E" w:rsidRPr="00182257" w:rsidRDefault="0003740E" w:rsidP="0003740E">
      <w:pPr>
        <w:jc w:val="both"/>
        <w:rPr>
          <w:u w:val="single"/>
          <w:lang w:val="en-GB"/>
        </w:rPr>
      </w:pPr>
      <w:r w:rsidRPr="00182257">
        <w:rPr>
          <w:u w:val="single"/>
          <w:lang w:val="en-GB"/>
        </w:rPr>
        <w:t>Reference standard:</w:t>
      </w:r>
    </w:p>
    <w:p w14:paraId="5A440BA0" w14:textId="4A469E3B" w:rsidR="0003740E" w:rsidRDefault="0003740E" w:rsidP="0003740E">
      <w:pPr>
        <w:pStyle w:val="Listenabsatz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Search for the reference compound by searching for the exact masses of specific PFAS fragments</w:t>
      </w:r>
      <w:r w:rsidR="00182257">
        <w:rPr>
          <w:lang w:val="en-GB"/>
        </w:rPr>
        <w:t xml:space="preserve"> by creating XICs</w:t>
      </w:r>
    </w:p>
    <w:p w14:paraId="01C72C4E" w14:textId="70BDEE05" w:rsidR="0003740E" w:rsidRDefault="0003740E" w:rsidP="0003740E">
      <w:pPr>
        <w:pStyle w:val="Listenabsatz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Compare the mass spectrum with the NIST library and save the mass spectrum and chromatogram</w:t>
      </w:r>
    </w:p>
    <w:p w14:paraId="491772ED" w14:textId="63179C7B" w:rsidR="0003740E" w:rsidRDefault="0003740E" w:rsidP="0003740E">
      <w:pPr>
        <w:pStyle w:val="Listenabsatz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 xml:space="preserve">Integrate the peak of the chosen </w:t>
      </w:r>
      <w:r w:rsidR="00182257">
        <w:rPr>
          <w:lang w:val="en-GB"/>
        </w:rPr>
        <w:t>XIC chromatogram &amp; save all your files and peak areas</w:t>
      </w:r>
    </w:p>
    <w:p w14:paraId="4A63D8E0" w14:textId="0702D0CC" w:rsidR="00182257" w:rsidRPr="00182257" w:rsidRDefault="00182257" w:rsidP="00182257">
      <w:pPr>
        <w:jc w:val="both"/>
        <w:rPr>
          <w:u w:val="single"/>
          <w:lang w:val="en-GB"/>
        </w:rPr>
      </w:pPr>
      <w:r w:rsidRPr="00182257">
        <w:rPr>
          <w:u w:val="single"/>
          <w:lang w:val="en-GB"/>
        </w:rPr>
        <w:t>Ambient air sample:</w:t>
      </w:r>
    </w:p>
    <w:p w14:paraId="2A7B81A1" w14:textId="33F95CA8" w:rsidR="00182257" w:rsidRDefault="00182257" w:rsidP="00182257">
      <w:pPr>
        <w:pStyle w:val="Listenabsatz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Search for the previously determined specific PFAS fragments und compare the mass spectra (don’t forget to save them)</w:t>
      </w:r>
    </w:p>
    <w:p w14:paraId="31FE80D4" w14:textId="47A1CB16" w:rsidR="00182257" w:rsidRDefault="00182257" w:rsidP="00182257">
      <w:pPr>
        <w:pStyle w:val="Listenabsatz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Try to assign the molecular identity of the PFAS found in your sample</w:t>
      </w:r>
    </w:p>
    <w:p w14:paraId="27641486" w14:textId="71103ED7" w:rsidR="00182257" w:rsidRDefault="00182257" w:rsidP="00182257">
      <w:pPr>
        <w:pStyle w:val="Listenabsatz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 xml:space="preserve">Integrate peaks that you claim to represent a PFAS compound </w:t>
      </w:r>
    </w:p>
    <w:p w14:paraId="79A3A5BD" w14:textId="37C4F2AE" w:rsidR="00182257" w:rsidRPr="00182257" w:rsidRDefault="00182257" w:rsidP="00182257">
      <w:pPr>
        <w:pStyle w:val="Listenabsatz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Save all your files and peak areas</w:t>
      </w:r>
    </w:p>
    <w:p w14:paraId="1111CDF6" w14:textId="77777777" w:rsidR="0003740E" w:rsidRPr="0003740E" w:rsidRDefault="0003740E" w:rsidP="0003740E">
      <w:pPr>
        <w:jc w:val="both"/>
        <w:rPr>
          <w:lang w:val="en-GB"/>
        </w:rPr>
      </w:pPr>
    </w:p>
    <w:p w14:paraId="174FF8B9" w14:textId="72059431" w:rsidR="003300BF" w:rsidRPr="0061609B" w:rsidRDefault="0061609B" w:rsidP="0061609B">
      <w:pPr>
        <w:jc w:val="both"/>
        <w:rPr>
          <w:b/>
          <w:bCs/>
          <w:lang w:val="en-GB"/>
        </w:rPr>
      </w:pPr>
      <w:r w:rsidRPr="0061609B">
        <w:rPr>
          <w:b/>
          <w:bCs/>
          <w:lang w:val="en-GB"/>
        </w:rPr>
        <w:t>Colloquium</w:t>
      </w:r>
    </w:p>
    <w:p w14:paraId="05C9FDF3" w14:textId="688E1BBB" w:rsidR="000B68F9" w:rsidRDefault="000B68F9" w:rsidP="000B68F9">
      <w:pPr>
        <w:jc w:val="both"/>
        <w:rPr>
          <w:lang w:val="en-GB"/>
        </w:rPr>
      </w:pPr>
      <w:r>
        <w:rPr>
          <w:lang w:val="en-GB"/>
        </w:rPr>
        <w:t>Please prepare following topics for the colloquium before the experiment:</w:t>
      </w:r>
    </w:p>
    <w:p w14:paraId="29D9E3A9" w14:textId="1BA387F0" w:rsidR="003300BF" w:rsidRDefault="003300BF" w:rsidP="000B68F9">
      <w:pPr>
        <w:pStyle w:val="Listenabsatz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Prepare the exact masses of specific PFAS fragments</w:t>
      </w:r>
    </w:p>
    <w:p w14:paraId="7AE55D9D" w14:textId="2132830A" w:rsidR="000B68F9" w:rsidRDefault="000B68F9" w:rsidP="000B68F9">
      <w:pPr>
        <w:pStyle w:val="Listenabsatz"/>
        <w:numPr>
          <w:ilvl w:val="0"/>
          <w:numId w:val="1"/>
        </w:numPr>
        <w:jc w:val="both"/>
        <w:rPr>
          <w:lang w:val="en-GB"/>
        </w:rPr>
      </w:pPr>
      <w:proofErr w:type="spellStart"/>
      <w:r>
        <w:rPr>
          <w:lang w:val="en-GB"/>
        </w:rPr>
        <w:t>Thermo</w:t>
      </w:r>
      <w:proofErr w:type="spellEnd"/>
      <w:r>
        <w:rPr>
          <w:lang w:val="en-GB"/>
        </w:rPr>
        <w:t xml:space="preserve"> desorption gas chromatography (TD-GC)</w:t>
      </w:r>
    </w:p>
    <w:p w14:paraId="00AD2F80" w14:textId="6DB5D90F" w:rsidR="000B68F9" w:rsidRDefault="000B68F9" w:rsidP="000B68F9">
      <w:pPr>
        <w:pStyle w:val="Listenabsatz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Environmental relevance of PFAS</w:t>
      </w:r>
    </w:p>
    <w:p w14:paraId="7CF53435" w14:textId="510CC5EE" w:rsidR="000B68F9" w:rsidRDefault="000B68F9" w:rsidP="000B68F9">
      <w:pPr>
        <w:pStyle w:val="Listenabsatz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Common </w:t>
      </w:r>
      <w:r w:rsidR="0061609B">
        <w:rPr>
          <w:lang w:val="en-GB"/>
        </w:rPr>
        <w:t>analytical techniques used for PFAS analysis in the atmosphere</w:t>
      </w:r>
    </w:p>
    <w:p w14:paraId="14B21E30" w14:textId="6794FED3" w:rsidR="000B68F9" w:rsidRDefault="000B68F9" w:rsidP="000B68F9">
      <w:pPr>
        <w:pStyle w:val="Listenabsatz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High resolution </w:t>
      </w:r>
      <w:r w:rsidR="003300BF">
        <w:rPr>
          <w:lang w:val="en-GB"/>
        </w:rPr>
        <w:t xml:space="preserve">Orbitrap </w:t>
      </w:r>
      <w:r>
        <w:rPr>
          <w:lang w:val="en-GB"/>
        </w:rPr>
        <w:t>mass spectrometry</w:t>
      </w:r>
    </w:p>
    <w:p w14:paraId="7FB752C4" w14:textId="461A9F51" w:rsidR="000B68F9" w:rsidRDefault="000B68F9" w:rsidP="000B68F9">
      <w:pPr>
        <w:pStyle w:val="Listenabsatz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Targeted-analysis, semi-targeted analysis, non-targeted analysis</w:t>
      </w:r>
    </w:p>
    <w:p w14:paraId="2F4EFE53" w14:textId="46AB502F" w:rsidR="003300BF" w:rsidRDefault="000B68F9" w:rsidP="003300BF">
      <w:pPr>
        <w:pStyle w:val="Listenabsatz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Gas phase calibration </w:t>
      </w:r>
      <w:r w:rsidR="0061609B">
        <w:rPr>
          <w:lang w:val="en-GB"/>
        </w:rPr>
        <w:t>setups</w:t>
      </w:r>
    </w:p>
    <w:p w14:paraId="03D3769B" w14:textId="2B7C14CE" w:rsidR="00182257" w:rsidRPr="003300BF" w:rsidRDefault="00182257" w:rsidP="003300BF">
      <w:pPr>
        <w:pStyle w:val="Listenabsatz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SIM, XIC, TIC</w:t>
      </w:r>
    </w:p>
    <w:p w14:paraId="32D8D9FF" w14:textId="483603BE" w:rsidR="000B68F9" w:rsidRDefault="0061609B" w:rsidP="0061609B">
      <w:pPr>
        <w:jc w:val="both"/>
        <w:rPr>
          <w:lang w:val="en-GB"/>
        </w:rPr>
      </w:pPr>
      <w:r>
        <w:rPr>
          <w:lang w:val="en-GB"/>
        </w:rPr>
        <w:t xml:space="preserve">Some </w:t>
      </w:r>
      <w:r w:rsidR="003C0E32">
        <w:rPr>
          <w:lang w:val="en-GB"/>
        </w:rPr>
        <w:t xml:space="preserve">more </w:t>
      </w:r>
      <w:r>
        <w:rPr>
          <w:lang w:val="en-GB"/>
        </w:rPr>
        <w:t>suggestions for your literature research:</w:t>
      </w:r>
    </w:p>
    <w:p w14:paraId="37A22C63" w14:textId="7F47C398" w:rsidR="0061609B" w:rsidRDefault="0061609B" w:rsidP="0061609B">
      <w:pPr>
        <w:pStyle w:val="Listenabsatz"/>
        <w:numPr>
          <w:ilvl w:val="0"/>
          <w:numId w:val="1"/>
        </w:numPr>
        <w:jc w:val="both"/>
        <w:rPr>
          <w:lang w:val="en-GB"/>
        </w:rPr>
      </w:pPr>
      <w:r w:rsidRPr="0061609B">
        <w:t xml:space="preserve">Movie: </w:t>
      </w:r>
      <w:r>
        <w:t>„</w:t>
      </w:r>
      <w:r w:rsidRPr="0061609B">
        <w:t>Dark Waters</w:t>
      </w:r>
      <w:r>
        <w:t>“</w:t>
      </w:r>
      <w:r w:rsidRPr="0061609B">
        <w:t xml:space="preserve"> (dt. </w:t>
      </w:r>
      <w:r w:rsidRPr="0061609B">
        <w:rPr>
          <w:lang w:val="en-GB"/>
        </w:rPr>
        <w:t>“</w:t>
      </w:r>
      <w:proofErr w:type="spellStart"/>
      <w:r w:rsidRPr="0061609B">
        <w:rPr>
          <w:lang w:val="en-GB"/>
        </w:rPr>
        <w:t>Vergiftete</w:t>
      </w:r>
      <w:proofErr w:type="spellEnd"/>
      <w:r w:rsidRPr="0061609B">
        <w:rPr>
          <w:lang w:val="en-GB"/>
        </w:rPr>
        <w:t xml:space="preserve"> </w:t>
      </w:r>
      <w:proofErr w:type="spellStart"/>
      <w:r w:rsidRPr="0061609B">
        <w:rPr>
          <w:lang w:val="en-GB"/>
        </w:rPr>
        <w:t>Wahrheit</w:t>
      </w:r>
      <w:proofErr w:type="spellEnd"/>
      <w:r w:rsidRPr="0061609B">
        <w:rPr>
          <w:lang w:val="en-GB"/>
        </w:rPr>
        <w:t>“) (just for fun if you</w:t>
      </w:r>
      <w:r>
        <w:rPr>
          <w:lang w:val="en-GB"/>
        </w:rPr>
        <w:t xml:space="preserve"> are interested in PFAS involved in environmental scandals)</w:t>
      </w:r>
    </w:p>
    <w:p w14:paraId="67C5C873" w14:textId="74D2C662" w:rsidR="003C0E32" w:rsidRDefault="003C0E32" w:rsidP="0061609B">
      <w:pPr>
        <w:pStyle w:val="Listenabsatz"/>
        <w:numPr>
          <w:ilvl w:val="0"/>
          <w:numId w:val="1"/>
        </w:numPr>
        <w:jc w:val="both"/>
        <w:rPr>
          <w:lang w:val="en-GB"/>
        </w:rPr>
      </w:pPr>
      <w:proofErr w:type="spellStart"/>
      <w:r w:rsidRPr="003C0E32">
        <w:t>Thorenz</w:t>
      </w:r>
      <w:proofErr w:type="spellEnd"/>
      <w:r w:rsidRPr="003C0E32">
        <w:t xml:space="preserve">, U.R., Kundel, M., Müller, L. et al. </w:t>
      </w:r>
      <w:r w:rsidRPr="003C0E32">
        <w:rPr>
          <w:lang w:val="en-GB"/>
        </w:rPr>
        <w:t xml:space="preserve">Generation of standard gas mixtures of halogenated, aliphatic, and aromatic compounds and prediction of the individual output rates based on molecular formula and boiling point. Anal </w:t>
      </w:r>
      <w:proofErr w:type="spellStart"/>
      <w:r w:rsidRPr="003C0E32">
        <w:rPr>
          <w:lang w:val="en-GB"/>
        </w:rPr>
        <w:t>Bioanal</w:t>
      </w:r>
      <w:proofErr w:type="spellEnd"/>
      <w:r w:rsidRPr="003C0E32">
        <w:rPr>
          <w:lang w:val="en-GB"/>
        </w:rPr>
        <w:t xml:space="preserve"> Chem 404, 2177–2183 (2012). </w:t>
      </w:r>
      <w:hyperlink r:id="rId6" w:history="1">
        <w:r w:rsidRPr="008F0270">
          <w:rPr>
            <w:rStyle w:val="Hyperlink"/>
            <w:lang w:val="en-GB"/>
          </w:rPr>
          <w:t>https://doi.org/10.1007/s00216-012-6202-5</w:t>
        </w:r>
      </w:hyperlink>
    </w:p>
    <w:p w14:paraId="2EEC68DC" w14:textId="174D56BF" w:rsidR="003300BF" w:rsidRDefault="0003740E" w:rsidP="003300BF">
      <w:pPr>
        <w:jc w:val="both"/>
        <w:rPr>
          <w:b/>
          <w:bCs/>
          <w:lang w:val="en-GB"/>
        </w:rPr>
      </w:pPr>
      <w:r w:rsidRPr="0003740E">
        <w:rPr>
          <w:b/>
          <w:bCs/>
          <w:lang w:val="en-GB"/>
        </w:rPr>
        <w:t>Protocol</w:t>
      </w:r>
    </w:p>
    <w:p w14:paraId="3E80F533" w14:textId="4A1057B4" w:rsidR="00182257" w:rsidRDefault="00182257" w:rsidP="00182257">
      <w:pPr>
        <w:pStyle w:val="Listenabsatz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Explain the environmental impact of PFAS </w:t>
      </w:r>
    </w:p>
    <w:p w14:paraId="00A12E1D" w14:textId="6A9089CD" w:rsidR="00182257" w:rsidRDefault="00182257" w:rsidP="00182257">
      <w:pPr>
        <w:pStyle w:val="Listenabsatz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Explain all the instruments used for the analysis</w:t>
      </w:r>
    </w:p>
    <w:p w14:paraId="0BDFCB38" w14:textId="79009DEE" w:rsidR="00182257" w:rsidRDefault="00182257" w:rsidP="00182257">
      <w:pPr>
        <w:pStyle w:val="Listenabsatz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lastRenderedPageBreak/>
        <w:t>Explain targeted, semi-targeted and non-targeted analysis. Which advantages and disadvantages do the different approaches have?</w:t>
      </w:r>
    </w:p>
    <w:p w14:paraId="62FC26B9" w14:textId="56214C16" w:rsidR="00182257" w:rsidRDefault="00182257" w:rsidP="00182257">
      <w:pPr>
        <w:pStyle w:val="Listenabsatz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Why do you need high resolution mass spectrometry for semi-targeted analysis?</w:t>
      </w:r>
    </w:p>
    <w:p w14:paraId="4D8871AC" w14:textId="7AD3FC2D" w:rsidR="00182257" w:rsidRDefault="00182257" w:rsidP="00182257">
      <w:pPr>
        <w:pStyle w:val="Listenabsatz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Show the chromatograms and mass spectra of the reference standard and the ambient air sample</w:t>
      </w:r>
    </w:p>
    <w:p w14:paraId="3E58BF18" w14:textId="4601D4E0" w:rsidR="00182257" w:rsidRDefault="00182257" w:rsidP="00182257">
      <w:pPr>
        <w:pStyle w:val="Listenabsatz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Try to assign specific fragments to the mass spectra and propose a structure for the PFAS compounds found in the ambient air sample (you can also argue with retention times)</w:t>
      </w:r>
    </w:p>
    <w:p w14:paraId="5D682FE6" w14:textId="63E38397" w:rsidR="00182257" w:rsidRDefault="00182257" w:rsidP="00182257">
      <w:pPr>
        <w:pStyle w:val="Listenabsatz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Calculate the amount of PFAS in your reference</w:t>
      </w:r>
      <w:r w:rsidR="0095628A">
        <w:rPr>
          <w:lang w:val="en-GB"/>
        </w:rPr>
        <w:t xml:space="preserve"> (unit reference: ng)</w:t>
      </w:r>
      <w:r>
        <w:rPr>
          <w:lang w:val="en-GB"/>
        </w:rPr>
        <w:t xml:space="preserve"> and the ambient air sample and compare them to literature values</w:t>
      </w:r>
      <w:r w:rsidR="0095628A">
        <w:rPr>
          <w:lang w:val="en-GB"/>
        </w:rPr>
        <w:t xml:space="preserve"> (unit ambient air sample: ng/m</w:t>
      </w:r>
      <w:r w:rsidR="0095628A">
        <w:rPr>
          <w:vertAlign w:val="superscript"/>
          <w:lang w:val="en-GB"/>
        </w:rPr>
        <w:t>3</w:t>
      </w:r>
      <w:r w:rsidR="0095628A">
        <w:rPr>
          <w:lang w:val="en-GB"/>
        </w:rPr>
        <w:t>)</w:t>
      </w:r>
    </w:p>
    <w:p w14:paraId="41681B78" w14:textId="7DE1060B" w:rsidR="0095628A" w:rsidRDefault="0095628A" w:rsidP="00182257">
      <w:pPr>
        <w:pStyle w:val="Listenabsatz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How do the peak shapes of your PFAS look and why? How could you improve that?</w:t>
      </w:r>
    </w:p>
    <w:p w14:paraId="625C1AA0" w14:textId="77777777" w:rsidR="0095628A" w:rsidRDefault="0095628A" w:rsidP="0095628A">
      <w:pPr>
        <w:ind w:left="360"/>
        <w:jc w:val="both"/>
        <w:rPr>
          <w:lang w:val="en-GB"/>
        </w:rPr>
      </w:pPr>
    </w:p>
    <w:p w14:paraId="0F30601E" w14:textId="1191DC8D" w:rsidR="0095628A" w:rsidRDefault="0095628A" w:rsidP="0095628A">
      <w:pPr>
        <w:ind w:left="360"/>
        <w:jc w:val="both"/>
        <w:rPr>
          <w:lang w:val="en-GB"/>
        </w:rPr>
      </w:pPr>
      <w:r>
        <w:rPr>
          <w:lang w:val="en-GB"/>
        </w:rPr>
        <w:t>To determine the mass on the cartridge of your reference standard you need the following equation:</w:t>
      </w:r>
    </w:p>
    <w:p w14:paraId="1E8FFA06" w14:textId="55D5F338" w:rsidR="0095628A" w:rsidRDefault="0095628A" w:rsidP="0095628A">
      <w:pPr>
        <w:ind w:left="360"/>
        <w:jc w:val="both"/>
        <w:rPr>
          <w:lang w:val="en-GB"/>
        </w:rPr>
      </w:pPr>
      <w:r>
        <w:rPr>
          <w:noProof/>
        </w:rPr>
        <w:drawing>
          <wp:inline distT="0" distB="0" distL="0" distR="0" wp14:anchorId="0BE08928" wp14:editId="3FFA86E4">
            <wp:extent cx="5619750" cy="1285875"/>
            <wp:effectExtent l="0" t="0" r="0" b="9525"/>
            <wp:docPr id="52684709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84709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E15B0" w14:textId="6BD5BFD1" w:rsidR="0095628A" w:rsidRDefault="0095628A" w:rsidP="0095628A">
      <w:pPr>
        <w:ind w:left="360"/>
        <w:jc w:val="both"/>
        <w:rPr>
          <w:lang w:val="en-GB"/>
        </w:rPr>
      </w:pPr>
      <w:r>
        <w:rPr>
          <w:lang w:val="en-GB"/>
        </w:rPr>
        <w:t>AM = analyte mass</w:t>
      </w:r>
    </w:p>
    <w:p w14:paraId="04988DEB" w14:textId="53535D72" w:rsidR="0095628A" w:rsidRDefault="0095628A" w:rsidP="0095628A">
      <w:pPr>
        <w:ind w:left="360"/>
        <w:jc w:val="both"/>
        <w:rPr>
          <w:lang w:val="en-GB"/>
        </w:rPr>
      </w:pPr>
      <w:r>
        <w:rPr>
          <w:lang w:val="en-GB"/>
        </w:rPr>
        <w:t>MV = mass loss</w:t>
      </w:r>
    </w:p>
    <w:p w14:paraId="43AF8EB7" w14:textId="066B8B16" w:rsidR="0095628A" w:rsidRDefault="0095628A" w:rsidP="0095628A">
      <w:pPr>
        <w:ind w:left="360"/>
        <w:jc w:val="both"/>
        <w:rPr>
          <w:lang w:val="en-GB"/>
        </w:rPr>
      </w:pPr>
      <w:r>
        <w:rPr>
          <w:lang w:val="en-GB"/>
        </w:rPr>
        <w:t>TS = main flow</w:t>
      </w:r>
    </w:p>
    <w:p w14:paraId="763083BE" w14:textId="58421ED7" w:rsidR="0095628A" w:rsidRDefault="0095628A" w:rsidP="0095628A">
      <w:pPr>
        <w:ind w:left="360"/>
        <w:jc w:val="both"/>
        <w:rPr>
          <w:lang w:val="en-GB"/>
        </w:rPr>
      </w:pPr>
      <w:r>
        <w:rPr>
          <w:lang w:val="en-GB"/>
        </w:rPr>
        <w:t>VS = dilution flow</w:t>
      </w:r>
    </w:p>
    <w:p w14:paraId="2D3381E7" w14:textId="61A58331" w:rsidR="0095628A" w:rsidRDefault="0095628A" w:rsidP="0095628A">
      <w:pPr>
        <w:ind w:left="360"/>
        <w:jc w:val="both"/>
        <w:rPr>
          <w:lang w:val="en-GB"/>
        </w:rPr>
      </w:pPr>
      <w:r>
        <w:rPr>
          <w:lang w:val="en-GB"/>
        </w:rPr>
        <w:t>PL = pump flow</w:t>
      </w:r>
    </w:p>
    <w:p w14:paraId="0FCCEF4E" w14:textId="5F77B465" w:rsidR="0095628A" w:rsidRPr="0095628A" w:rsidRDefault="0095628A" w:rsidP="0095628A">
      <w:pPr>
        <w:ind w:left="360"/>
        <w:jc w:val="both"/>
        <w:rPr>
          <w:lang w:val="en-GB"/>
        </w:rPr>
      </w:pPr>
      <w:r>
        <w:rPr>
          <w:lang w:val="en-GB"/>
        </w:rPr>
        <w:t xml:space="preserve">BD = duration </w:t>
      </w:r>
    </w:p>
    <w:sectPr w:rsidR="0095628A" w:rsidRPr="009562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B27E5"/>
    <w:multiLevelType w:val="hybridMultilevel"/>
    <w:tmpl w:val="C3CAB78C"/>
    <w:lvl w:ilvl="0" w:tplc="F2508D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D5B57"/>
    <w:multiLevelType w:val="hybridMultilevel"/>
    <w:tmpl w:val="46CEB420"/>
    <w:lvl w:ilvl="0" w:tplc="09BA8F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192492">
    <w:abstractNumId w:val="1"/>
  </w:num>
  <w:num w:numId="2" w16cid:durableId="16412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F9"/>
    <w:rsid w:val="0003740E"/>
    <w:rsid w:val="000B68F9"/>
    <w:rsid w:val="000F4AF8"/>
    <w:rsid w:val="00182257"/>
    <w:rsid w:val="003300BF"/>
    <w:rsid w:val="003416A9"/>
    <w:rsid w:val="003C0E32"/>
    <w:rsid w:val="004718E9"/>
    <w:rsid w:val="0061609B"/>
    <w:rsid w:val="0095628A"/>
    <w:rsid w:val="00FC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C2C928"/>
  <w15:chartTrackingRefBased/>
  <w15:docId w15:val="{4502DA1F-E709-423F-8F0A-61A21530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68F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C0E3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0E32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95628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07/s00216-012-6202-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Hildmann, Stefanie</dc:creator>
  <cp:keywords/>
  <dc:description/>
  <cp:lastModifiedBy>Hildmann, Stefanie</cp:lastModifiedBy>
  <cp:revision>1</cp:revision>
  <dcterms:created xsi:type="dcterms:W3CDTF">2024-02-16T11:08:00Z</dcterms:created>
  <dcterms:modified xsi:type="dcterms:W3CDTF">2024-02-16T14:58:00Z</dcterms:modified>
</cp:coreProperties>
</file>